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</w:rPr>
        <w:t>广州佳润云凯酒店地图指引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 导航地址：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广州白云区同和路187号</w:t>
      </w:r>
    </w:p>
    <w:p>
      <w:pPr>
        <w:ind w:firstLine="603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地    铁：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地铁三号线同和站D出口沿车行方向走约500米</w:t>
      </w:r>
    </w:p>
    <w:p>
      <w:pPr>
        <w:ind w:firstLine="603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交通指引：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179、833、862、804（白云山制药厂站下车）、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B6（同和榕树头站下车）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/>
          <w:sz w:val="32"/>
          <w:szCs w:val="32"/>
        </w:rPr>
        <w:drawing>
          <wp:inline distT="0" distB="0" distL="114300" distR="114300">
            <wp:extent cx="5372735" cy="5998845"/>
            <wp:effectExtent l="0" t="0" r="18415" b="1905"/>
            <wp:docPr id="3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599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290" w:charSpace="-3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1C96"/>
    <w:rsid w:val="37B17842"/>
    <w:rsid w:val="654D1C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2016-11-07T07:26:00Z</dcterms:created>
  <dc:creator>朱玲</dc:creator>
  <cp:lastModifiedBy>朱玲</cp:lastModifiedBy>
  <cp:lastPrinted>2016-11-07T08:05:00Z</cp:lastPrinted>
  <dcterms:modified xsi:type="dcterms:W3CDTF">2016-11-09T07:09:48Z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